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56E1" w14:textId="77777777" w:rsidR="00536B4C" w:rsidRPr="00536B4C" w:rsidRDefault="00536B4C" w:rsidP="00536B4C">
      <w:pPr>
        <w:keepNext/>
        <w:spacing w:after="240"/>
        <w:jc w:val="center"/>
        <w:outlineLvl w:val="0"/>
        <w:rPr>
          <w:rFonts w:eastAsia="PMingLiU"/>
          <w:b/>
          <w:bCs/>
          <w:color w:val="000000"/>
          <w:szCs w:val="28"/>
        </w:rPr>
      </w:pPr>
      <w:bookmarkStart w:id="0" w:name="_Toc340005313"/>
      <w:bookmarkStart w:id="1" w:name="_Toc340006679"/>
      <w:bookmarkStart w:id="2" w:name="_Toc340011948"/>
      <w:bookmarkStart w:id="3" w:name="_Toc340012008"/>
      <w:bookmarkStart w:id="4" w:name="_Toc340043313"/>
      <w:bookmarkStart w:id="5" w:name="_Toc340756156"/>
      <w:bookmarkStart w:id="6" w:name="_Toc351380351"/>
      <w:r w:rsidRPr="00536B4C">
        <w:rPr>
          <w:rFonts w:eastAsia="PMingLiU"/>
          <w:b/>
          <w:bCs/>
          <w:color w:val="000000"/>
          <w:szCs w:val="28"/>
        </w:rPr>
        <w:t>OFFICIAL STATEMENT</w:t>
      </w:r>
      <w:bookmarkEnd w:id="0"/>
      <w:bookmarkEnd w:id="1"/>
      <w:bookmarkEnd w:id="2"/>
      <w:bookmarkEnd w:id="3"/>
      <w:bookmarkEnd w:id="4"/>
      <w:bookmarkEnd w:id="5"/>
      <w:bookmarkEnd w:id="6"/>
    </w:p>
    <w:p w14:paraId="7FEDA77D" w14:textId="77777777" w:rsidR="00536B4C" w:rsidRPr="00536B4C" w:rsidRDefault="00536B4C" w:rsidP="00536B4C">
      <w:pPr>
        <w:keepNext/>
        <w:numPr>
          <w:ilvl w:val="1"/>
          <w:numId w:val="0"/>
        </w:numPr>
        <w:spacing w:after="240"/>
        <w:outlineLvl w:val="1"/>
        <w:rPr>
          <w:rFonts w:eastAsia="Calibri"/>
          <w:szCs w:val="24"/>
        </w:rPr>
      </w:pPr>
      <w:bookmarkStart w:id="7" w:name="_Toc340005314"/>
      <w:bookmarkStart w:id="8" w:name="_Toc340006680"/>
      <w:bookmarkStart w:id="9" w:name="_Toc340011949"/>
      <w:bookmarkStart w:id="10" w:name="_Toc340012009"/>
      <w:bookmarkStart w:id="11" w:name="_Toc340043314"/>
      <w:bookmarkStart w:id="12" w:name="_Toc340756157"/>
      <w:bookmarkStart w:id="13" w:name="_Toc351380352"/>
      <w:r w:rsidRPr="00536B4C">
        <w:rPr>
          <w:rFonts w:eastAsia="Calibri"/>
          <w:b/>
          <w:color w:val="000000"/>
          <w:szCs w:val="24"/>
        </w:rPr>
        <w:t>Front Cover</w:t>
      </w:r>
      <w:bookmarkEnd w:id="7"/>
      <w:bookmarkEnd w:id="8"/>
      <w:bookmarkEnd w:id="9"/>
      <w:bookmarkEnd w:id="10"/>
      <w:bookmarkEnd w:id="11"/>
      <w:bookmarkEnd w:id="12"/>
      <w:bookmarkEnd w:id="13"/>
      <w:r w:rsidRPr="00536B4C">
        <w:rPr>
          <w:rFonts w:eastAsia="Calibri"/>
          <w:szCs w:val="24"/>
        </w:rPr>
        <w:t>:</w:t>
      </w:r>
    </w:p>
    <w:p w14:paraId="5B3F57A0" w14:textId="77777777" w:rsidR="00536B4C" w:rsidRPr="00536B4C" w:rsidRDefault="00536B4C" w:rsidP="00536B4C">
      <w:pPr>
        <w:spacing w:after="240"/>
        <w:ind w:firstLine="720"/>
        <w:jc w:val="both"/>
        <w:rPr>
          <w:szCs w:val="24"/>
        </w:rPr>
      </w:pPr>
      <w:r w:rsidRPr="00536B4C">
        <w:rPr>
          <w:szCs w:val="24"/>
        </w:rPr>
        <w:t>Include the following within the body of the front cover:</w:t>
      </w:r>
    </w:p>
    <w:p w14:paraId="28118C30" w14:textId="77777777" w:rsidR="00536B4C" w:rsidRPr="00536B4C" w:rsidRDefault="00536B4C" w:rsidP="00536B4C">
      <w:pPr>
        <w:spacing w:after="240"/>
        <w:jc w:val="both"/>
        <w:rPr>
          <w:szCs w:val="24"/>
        </w:rPr>
      </w:pPr>
      <w:r w:rsidRPr="00536B4C">
        <w:rPr>
          <w:szCs w:val="24"/>
        </w:rPr>
        <w:t>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THEREFOR PROVIDED.  NEITHER THE STATE OF CALIFORNIA NOR THE AUTHORITY SHALL BE OBLIGATED TO PAY THE PRINCIPAL [OR PURCHASE PRICE] OF THE BONDS OR THE PREMIUM, IF ANY, OR THE INTEREST THEREON EXCEPT FROM THE FUNDS PROVIDED UNDER THE LOAN AGREEMENT AND THE OTHER ASSETS PLEDGED UNDER THE INDENTURE, AND NEITHER THE FAITH AND CREDIT NOR THE TAXING POWER OF THE STATE OF CALIFORNIA OR OF ANY POLITICAL SUBDIVISION THEREOF IS PLEDGED TO THE PAYMENT OF THE PRINCIPAL [OR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w:t>
      </w:r>
    </w:p>
    <w:p w14:paraId="443BD8F7" w14:textId="77777777" w:rsidR="00536B4C" w:rsidRPr="00536B4C" w:rsidRDefault="00536B4C" w:rsidP="00536B4C">
      <w:pPr>
        <w:spacing w:after="240"/>
        <w:ind w:firstLine="720"/>
        <w:jc w:val="both"/>
        <w:rPr>
          <w:szCs w:val="24"/>
        </w:rPr>
      </w:pPr>
      <w:r w:rsidRPr="00536B4C">
        <w:rPr>
          <w:szCs w:val="24"/>
        </w:rPr>
        <w:t>Include the following at the bottom of the front cover, above the name(s) of the Underwriter(s):</w:t>
      </w:r>
    </w:p>
    <w:p w14:paraId="46FF592A" w14:textId="77777777" w:rsidR="00536B4C" w:rsidRPr="00536B4C" w:rsidRDefault="00536B4C" w:rsidP="00536B4C">
      <w:pPr>
        <w:keepNext/>
        <w:keepLines/>
        <w:spacing w:after="240"/>
        <w:jc w:val="center"/>
        <w:rPr>
          <w:szCs w:val="24"/>
        </w:rPr>
      </w:pPr>
      <w:r w:rsidRPr="00536B4C">
        <w:rPr>
          <w:szCs w:val="24"/>
        </w:rPr>
        <w:t>__________________________________</w:t>
      </w:r>
    </w:p>
    <w:p w14:paraId="4D0C8D81" w14:textId="77777777" w:rsidR="00536B4C" w:rsidRPr="00536B4C" w:rsidRDefault="00536B4C" w:rsidP="00536B4C">
      <w:pPr>
        <w:keepNext/>
        <w:keepLines/>
        <w:jc w:val="center"/>
        <w:rPr>
          <w:b/>
          <w:szCs w:val="24"/>
        </w:rPr>
      </w:pPr>
      <w:r w:rsidRPr="00536B4C">
        <w:rPr>
          <w:b/>
          <w:szCs w:val="24"/>
        </w:rPr>
        <w:t>HONORABLE [TREASURER’S NAME]</w:t>
      </w:r>
      <w:r w:rsidRPr="00536B4C">
        <w:rPr>
          <w:b/>
          <w:szCs w:val="24"/>
        </w:rPr>
        <w:br/>
        <w:t>Treasurer of the State of California</w:t>
      </w:r>
      <w:r w:rsidRPr="00536B4C">
        <w:rPr>
          <w:b/>
          <w:szCs w:val="24"/>
        </w:rPr>
        <w:br/>
        <w:t>As Agent for Sale</w:t>
      </w:r>
    </w:p>
    <w:p w14:paraId="759D6141" w14:textId="77777777" w:rsidR="00536B4C" w:rsidRPr="00536B4C" w:rsidRDefault="00536B4C" w:rsidP="00536B4C">
      <w:pPr>
        <w:keepNext/>
        <w:keepLines/>
        <w:spacing w:after="240"/>
        <w:jc w:val="center"/>
        <w:rPr>
          <w:szCs w:val="24"/>
        </w:rPr>
      </w:pPr>
      <w:r w:rsidRPr="00536B4C">
        <w:rPr>
          <w:szCs w:val="24"/>
        </w:rPr>
        <w:t>__________________________________</w:t>
      </w:r>
    </w:p>
    <w:p w14:paraId="31A90130" w14:textId="77777777" w:rsidR="00536B4C" w:rsidRPr="00536B4C" w:rsidRDefault="00536B4C" w:rsidP="00536B4C">
      <w:pPr>
        <w:keepNext/>
        <w:numPr>
          <w:ilvl w:val="1"/>
          <w:numId w:val="0"/>
        </w:numPr>
        <w:spacing w:after="240"/>
        <w:outlineLvl w:val="1"/>
        <w:rPr>
          <w:rFonts w:eastAsia="Calibri"/>
          <w:szCs w:val="24"/>
        </w:rPr>
      </w:pPr>
      <w:bookmarkStart w:id="14" w:name="_Toc340005315"/>
      <w:bookmarkStart w:id="15" w:name="_Toc340006681"/>
      <w:bookmarkStart w:id="16" w:name="_Toc340011950"/>
      <w:bookmarkStart w:id="17" w:name="_Toc340012010"/>
      <w:bookmarkStart w:id="18" w:name="_Toc340043315"/>
      <w:bookmarkStart w:id="19" w:name="_Toc340756158"/>
      <w:bookmarkStart w:id="20" w:name="_Toc351380353"/>
      <w:r w:rsidRPr="00536B4C">
        <w:rPr>
          <w:rFonts w:eastAsia="Calibri"/>
          <w:b/>
          <w:color w:val="000000"/>
          <w:szCs w:val="24"/>
        </w:rPr>
        <w:t>Inside Front Cover</w:t>
      </w:r>
      <w:bookmarkEnd w:id="14"/>
      <w:bookmarkEnd w:id="15"/>
      <w:bookmarkEnd w:id="16"/>
      <w:bookmarkEnd w:id="17"/>
      <w:bookmarkEnd w:id="18"/>
      <w:bookmarkEnd w:id="19"/>
      <w:bookmarkEnd w:id="20"/>
      <w:r w:rsidRPr="00536B4C">
        <w:rPr>
          <w:rFonts w:eastAsia="Calibri"/>
          <w:szCs w:val="24"/>
        </w:rPr>
        <w:t>:</w:t>
      </w:r>
    </w:p>
    <w:p w14:paraId="3B9F4A9B" w14:textId="77777777" w:rsidR="00536B4C" w:rsidRPr="00536B4C" w:rsidRDefault="00536B4C" w:rsidP="00536B4C">
      <w:pPr>
        <w:spacing w:after="240"/>
        <w:ind w:firstLine="720"/>
        <w:jc w:val="both"/>
        <w:rPr>
          <w:szCs w:val="24"/>
        </w:rPr>
      </w:pPr>
      <w:r w:rsidRPr="00536B4C">
        <w:rPr>
          <w:szCs w:val="24"/>
        </w:rPr>
        <w:t>Include the following within the body of the inside front cover:</w:t>
      </w:r>
    </w:p>
    <w:p w14:paraId="68FDF0AD" w14:textId="77777777" w:rsidR="00536B4C" w:rsidRPr="00536B4C" w:rsidRDefault="00536B4C" w:rsidP="00536B4C">
      <w:pPr>
        <w:spacing w:after="240"/>
        <w:ind w:firstLine="720"/>
        <w:jc w:val="both"/>
        <w:rPr>
          <w:szCs w:val="24"/>
        </w:rPr>
      </w:pPr>
      <w:r w:rsidRPr="00536B4C">
        <w:rPr>
          <w:szCs w:val="24"/>
        </w:rPr>
        <w:t>The information relating to the Authority set forth herein under the captions “THE AUTHORITY” and “ABSENCE OF MATERIAL LITIGATION—The Authority” has been furnished by the Authority.  The Authority does not warrant the accuracy of the statements contained herein relating to the Borrower, nor does it directly or indirectly guarantee, endorse or warrant (1) the creditworthiness or credit standing of the Borrower, (2) the sufficiency of the security for the Bonds or (3) the value or investment quality of the Bonds.  The Authority makes no representations or warranties whatsoever with respect to any information contained herein except for the information under the captions “THE AUTHORITY” and “ABSENCE OF MATERIAL LITIGATION—The Authority.”</w:t>
      </w:r>
    </w:p>
    <w:p w14:paraId="71070AEA" w14:textId="77777777" w:rsidR="00536B4C" w:rsidRPr="00536B4C" w:rsidRDefault="00536B4C" w:rsidP="00536B4C">
      <w:pPr>
        <w:keepNext/>
        <w:numPr>
          <w:ilvl w:val="1"/>
          <w:numId w:val="0"/>
        </w:numPr>
        <w:spacing w:after="240"/>
        <w:outlineLvl w:val="1"/>
        <w:rPr>
          <w:rFonts w:eastAsia="Calibri"/>
          <w:szCs w:val="24"/>
        </w:rPr>
      </w:pPr>
      <w:bookmarkStart w:id="21" w:name="_Toc340005316"/>
      <w:bookmarkStart w:id="22" w:name="_Toc340006682"/>
      <w:bookmarkStart w:id="23" w:name="_Toc340011951"/>
      <w:bookmarkStart w:id="24" w:name="_Toc340012011"/>
      <w:bookmarkStart w:id="25" w:name="_Toc340043316"/>
      <w:bookmarkStart w:id="26" w:name="_Toc340756159"/>
      <w:bookmarkStart w:id="27" w:name="_Toc351380354"/>
      <w:r w:rsidRPr="00536B4C">
        <w:rPr>
          <w:rFonts w:eastAsia="Calibri"/>
          <w:b/>
          <w:color w:val="000000"/>
          <w:szCs w:val="24"/>
        </w:rPr>
        <w:lastRenderedPageBreak/>
        <w:t>Security</w:t>
      </w:r>
      <w:bookmarkEnd w:id="21"/>
      <w:bookmarkEnd w:id="22"/>
      <w:bookmarkEnd w:id="23"/>
      <w:bookmarkEnd w:id="24"/>
      <w:bookmarkEnd w:id="25"/>
      <w:bookmarkEnd w:id="26"/>
      <w:bookmarkEnd w:id="27"/>
      <w:r w:rsidRPr="00536B4C">
        <w:rPr>
          <w:rFonts w:eastAsia="Calibri"/>
          <w:szCs w:val="24"/>
        </w:rPr>
        <w:t>:</w:t>
      </w:r>
    </w:p>
    <w:p w14:paraId="363AACB1" w14:textId="77777777" w:rsidR="00536B4C" w:rsidRPr="00536B4C" w:rsidRDefault="00536B4C" w:rsidP="00536B4C">
      <w:pPr>
        <w:spacing w:after="240"/>
        <w:ind w:firstLine="720"/>
        <w:jc w:val="both"/>
        <w:rPr>
          <w:szCs w:val="24"/>
        </w:rPr>
      </w:pPr>
      <w:r w:rsidRPr="00536B4C">
        <w:rPr>
          <w:szCs w:val="24"/>
        </w:rPr>
        <w:t>Include the following in the section “Security for the Bonds” in both the POS and the OS:</w:t>
      </w:r>
    </w:p>
    <w:p w14:paraId="03FFDB8B" w14:textId="77777777" w:rsidR="00536B4C" w:rsidRPr="00536B4C" w:rsidRDefault="00536B4C" w:rsidP="00536B4C">
      <w:pPr>
        <w:spacing w:after="240"/>
        <w:ind w:firstLine="720"/>
        <w:jc w:val="both"/>
        <w:rPr>
          <w:szCs w:val="24"/>
        </w:rPr>
      </w:pPr>
      <w:r w:rsidRPr="00536B4C">
        <w:rPr>
          <w:szCs w:val="24"/>
        </w:rPr>
        <w:t xml:space="preserve">The Bonds shall not be deemed to constitute a debt or liability of the State of California or of any political subdivision thereof other than the Authority or a pledge of the faith and credit of the State of California or of any political subdivision thereof, but shall be payable solely from the funds therefor provided.  Neither the State of California nor the Authority shall be obligated to pay the principal [or the purchase price] of the Bonds or the premium, if any, or the interest thereon except from Revenues and the other assets pledged under the Indenture and neither the faith and credit nor the taxing power of the State of California or of any political subdivision thereof is pledged to the payment of the principal [or the purchase price] of or the premium, if any, or the interest on the Bonds.  The issuance of the Bonds shall not directly or indirectly or contingently obligate the State of California or any political subdivision thereof to levy or to pledge any form of taxation whatever therefor or to make any appropriation for their payment.  The Authority has no taxing power.  </w:t>
      </w:r>
    </w:p>
    <w:p w14:paraId="099623CA" w14:textId="77777777" w:rsidR="00536B4C" w:rsidRPr="00536B4C" w:rsidRDefault="00536B4C" w:rsidP="00536B4C">
      <w:pPr>
        <w:keepNext/>
        <w:numPr>
          <w:ilvl w:val="1"/>
          <w:numId w:val="0"/>
        </w:numPr>
        <w:spacing w:after="240"/>
        <w:outlineLvl w:val="1"/>
        <w:rPr>
          <w:rFonts w:eastAsia="Calibri"/>
          <w:szCs w:val="24"/>
        </w:rPr>
      </w:pPr>
      <w:bookmarkStart w:id="28" w:name="_Toc340005317"/>
      <w:bookmarkStart w:id="29" w:name="_Toc340006683"/>
      <w:bookmarkStart w:id="30" w:name="_Toc340011952"/>
      <w:bookmarkStart w:id="31" w:name="_Toc340012012"/>
      <w:bookmarkStart w:id="32" w:name="_Toc340043317"/>
      <w:bookmarkStart w:id="33" w:name="_Toc340756160"/>
      <w:bookmarkStart w:id="34" w:name="_Toc351380355"/>
      <w:r w:rsidRPr="00536B4C">
        <w:rPr>
          <w:rFonts w:eastAsia="Calibri"/>
          <w:b/>
          <w:color w:val="000000"/>
          <w:szCs w:val="24"/>
        </w:rPr>
        <w:t>Continuing Disclosure</w:t>
      </w:r>
      <w:bookmarkEnd w:id="28"/>
      <w:bookmarkEnd w:id="29"/>
      <w:bookmarkEnd w:id="30"/>
      <w:bookmarkEnd w:id="31"/>
      <w:bookmarkEnd w:id="32"/>
      <w:bookmarkEnd w:id="33"/>
      <w:bookmarkEnd w:id="34"/>
      <w:r w:rsidRPr="00536B4C">
        <w:rPr>
          <w:rFonts w:eastAsia="Calibri"/>
          <w:szCs w:val="24"/>
        </w:rPr>
        <w:t>:</w:t>
      </w:r>
    </w:p>
    <w:p w14:paraId="5FE7AA03" w14:textId="77777777" w:rsidR="00536B4C" w:rsidRPr="00536B4C" w:rsidRDefault="00536B4C" w:rsidP="00536B4C">
      <w:pPr>
        <w:spacing w:after="240"/>
        <w:ind w:firstLine="720"/>
        <w:jc w:val="both"/>
        <w:rPr>
          <w:szCs w:val="24"/>
        </w:rPr>
      </w:pPr>
      <w:r w:rsidRPr="00536B4C">
        <w:rPr>
          <w:i/>
          <w:szCs w:val="24"/>
        </w:rPr>
        <w:t>Bond Counsel must confirm that the Authority has no obligations with respect to continuing disclosure.</w:t>
      </w:r>
    </w:p>
    <w:p w14:paraId="557226AE" w14:textId="77777777" w:rsidR="00536B4C" w:rsidRPr="00536B4C" w:rsidRDefault="00536B4C" w:rsidP="00536B4C">
      <w:pPr>
        <w:keepNext/>
        <w:numPr>
          <w:ilvl w:val="1"/>
          <w:numId w:val="0"/>
        </w:numPr>
        <w:spacing w:after="240"/>
        <w:outlineLvl w:val="1"/>
        <w:rPr>
          <w:rFonts w:eastAsia="Calibri"/>
          <w:szCs w:val="24"/>
        </w:rPr>
      </w:pPr>
      <w:bookmarkStart w:id="35" w:name="_Toc340005318"/>
      <w:bookmarkStart w:id="36" w:name="_Toc340006684"/>
      <w:bookmarkStart w:id="37" w:name="_Toc340011953"/>
      <w:bookmarkStart w:id="38" w:name="_Toc340012013"/>
      <w:bookmarkStart w:id="39" w:name="_Toc340043318"/>
      <w:bookmarkStart w:id="40" w:name="_Toc340756161"/>
      <w:bookmarkStart w:id="41" w:name="_Toc351380356"/>
      <w:r w:rsidRPr="00536B4C">
        <w:rPr>
          <w:rFonts w:eastAsia="Calibri"/>
          <w:b/>
          <w:color w:val="000000"/>
          <w:szCs w:val="24"/>
        </w:rPr>
        <w:t>The Authority</w:t>
      </w:r>
      <w:bookmarkEnd w:id="35"/>
      <w:bookmarkEnd w:id="36"/>
      <w:bookmarkEnd w:id="37"/>
      <w:bookmarkEnd w:id="38"/>
      <w:bookmarkEnd w:id="39"/>
      <w:bookmarkEnd w:id="40"/>
      <w:bookmarkEnd w:id="41"/>
      <w:r w:rsidRPr="00536B4C">
        <w:rPr>
          <w:rFonts w:eastAsia="Calibri"/>
          <w:szCs w:val="24"/>
        </w:rPr>
        <w:t>:</w:t>
      </w:r>
    </w:p>
    <w:p w14:paraId="1742C924" w14:textId="77777777" w:rsidR="00536B4C" w:rsidRPr="00536B4C" w:rsidRDefault="00536B4C" w:rsidP="00536B4C">
      <w:pPr>
        <w:keepNext/>
        <w:keepLines/>
        <w:spacing w:after="240"/>
        <w:ind w:left="720"/>
        <w:jc w:val="both"/>
        <w:rPr>
          <w:rFonts w:eastAsia="Calibri"/>
          <w:b/>
          <w:i/>
          <w:szCs w:val="24"/>
        </w:rPr>
      </w:pPr>
      <w:r w:rsidRPr="00536B4C">
        <w:rPr>
          <w:rFonts w:eastAsia="Calibri"/>
          <w:b/>
          <w:i/>
          <w:szCs w:val="24"/>
        </w:rPr>
        <w:t>General</w:t>
      </w:r>
    </w:p>
    <w:p w14:paraId="782B1B14" w14:textId="77777777" w:rsidR="00536B4C" w:rsidRPr="00536B4C" w:rsidRDefault="00536B4C" w:rsidP="00536B4C">
      <w:pPr>
        <w:spacing w:after="240"/>
        <w:ind w:firstLine="720"/>
        <w:jc w:val="both"/>
        <w:rPr>
          <w:szCs w:val="24"/>
        </w:rPr>
      </w:pPr>
      <w:r w:rsidRPr="00536B4C">
        <w:rPr>
          <w:szCs w:val="24"/>
        </w:rPr>
        <w:t xml:space="preserve">The Authority is a public instrumentality of the State of California created pursuant to the provisions of the Act.  The Authority is authorized to issue the Bonds under the Act, to make the loan contemplated by the Loan Agreement and to secure the Bonds by a pledge of the Revenues received by the Authority pursuant to the Loan Agreement and certain other sources of payment as provided in the Indenture, including amounts held in the funds or accounts established pursuant to the Indenture (excluding the Rebate Fund [and the Purchase Fund]).  </w:t>
      </w:r>
    </w:p>
    <w:p w14:paraId="28BAC687" w14:textId="77777777" w:rsidR="00536B4C" w:rsidRPr="00536B4C" w:rsidRDefault="00536B4C" w:rsidP="00536B4C">
      <w:pPr>
        <w:keepNext/>
        <w:keepLines/>
        <w:spacing w:after="240"/>
        <w:ind w:left="720"/>
        <w:jc w:val="both"/>
        <w:rPr>
          <w:rFonts w:eastAsia="Calibri"/>
          <w:b/>
          <w:i/>
          <w:szCs w:val="24"/>
        </w:rPr>
      </w:pPr>
      <w:r w:rsidRPr="00536B4C">
        <w:rPr>
          <w:rFonts w:eastAsia="Calibri"/>
          <w:b/>
          <w:i/>
          <w:szCs w:val="24"/>
        </w:rPr>
        <w:t>Organization and Membership</w:t>
      </w:r>
    </w:p>
    <w:p w14:paraId="205EF10D" w14:textId="77777777" w:rsidR="00536B4C" w:rsidRPr="00536B4C" w:rsidRDefault="00536B4C" w:rsidP="00536B4C">
      <w:pPr>
        <w:spacing w:after="240"/>
        <w:ind w:firstLine="720"/>
        <w:jc w:val="both"/>
        <w:rPr>
          <w:szCs w:val="24"/>
        </w:rPr>
      </w:pPr>
      <w:r w:rsidRPr="00536B4C">
        <w:rPr>
          <w:szCs w:val="24"/>
        </w:rPr>
        <w:t>The membership of the Authority consists of the Treasurer, the Controller and the Director of Finance of the State of California and two members appointed by the Governor of the State of California.  Of the two appointed members, one must be affiliated with a public institution of higher education as a governing board member or in an administrative capacity and the other must be affiliated with a private institution of higher education as a governing board member or in an administrative capacity.</w:t>
      </w:r>
    </w:p>
    <w:p w14:paraId="7552488D" w14:textId="77777777" w:rsidR="00536B4C" w:rsidRPr="00536B4C" w:rsidRDefault="00536B4C" w:rsidP="00536B4C">
      <w:pPr>
        <w:keepNext/>
        <w:keepLines/>
        <w:spacing w:after="240"/>
        <w:ind w:left="720"/>
        <w:jc w:val="both"/>
        <w:rPr>
          <w:rFonts w:eastAsia="Calibri"/>
          <w:b/>
          <w:i/>
          <w:szCs w:val="24"/>
        </w:rPr>
      </w:pPr>
      <w:r w:rsidRPr="00536B4C">
        <w:rPr>
          <w:rFonts w:eastAsia="Calibri"/>
          <w:b/>
          <w:i/>
          <w:szCs w:val="24"/>
        </w:rPr>
        <w:t>Outstanding Indebtedness of the Authority</w:t>
      </w:r>
    </w:p>
    <w:p w14:paraId="70B63857" w14:textId="77777777" w:rsidR="00536B4C" w:rsidRPr="00536B4C" w:rsidRDefault="00536B4C" w:rsidP="00536B4C">
      <w:pPr>
        <w:spacing w:after="240"/>
        <w:ind w:firstLine="720"/>
        <w:jc w:val="both"/>
        <w:rPr>
          <w:szCs w:val="24"/>
        </w:rPr>
      </w:pPr>
      <w:r w:rsidRPr="00536B4C">
        <w:rPr>
          <w:szCs w:val="24"/>
        </w:rPr>
        <w:t xml:space="preserve">The Act does not limit the amount of indebtedness the Authority may have outstanding from time to time.  As of ___________________, ____, the Authority had outstanding $______________ aggregate principal amount of bonds and notes (excluding certain bonds and </w:t>
      </w:r>
      <w:r w:rsidRPr="00536B4C">
        <w:rPr>
          <w:szCs w:val="24"/>
        </w:rPr>
        <w:lastRenderedPageBreak/>
        <w:t xml:space="preserve">notes which have been </w:t>
      </w:r>
      <w:proofErr w:type="spellStart"/>
      <w:r w:rsidRPr="00536B4C">
        <w:rPr>
          <w:szCs w:val="24"/>
        </w:rPr>
        <w:t>defeased</w:t>
      </w:r>
      <w:proofErr w:type="spellEnd"/>
      <w:r w:rsidRPr="00536B4C">
        <w:rPr>
          <w:szCs w:val="24"/>
        </w:rPr>
        <w:t>) issued on behalf of various California independent colleges and universities.</w:t>
      </w:r>
    </w:p>
    <w:p w14:paraId="199C49D5" w14:textId="77777777" w:rsidR="00536B4C" w:rsidRPr="00536B4C" w:rsidRDefault="00536B4C" w:rsidP="00536B4C">
      <w:pPr>
        <w:keepNext/>
        <w:numPr>
          <w:ilvl w:val="1"/>
          <w:numId w:val="0"/>
        </w:numPr>
        <w:spacing w:after="240"/>
        <w:outlineLvl w:val="1"/>
        <w:rPr>
          <w:rFonts w:eastAsia="Calibri"/>
          <w:szCs w:val="24"/>
        </w:rPr>
      </w:pPr>
      <w:bookmarkStart w:id="42" w:name="_Toc340005319"/>
      <w:bookmarkStart w:id="43" w:name="_Toc340006685"/>
      <w:bookmarkStart w:id="44" w:name="_Toc340011954"/>
      <w:bookmarkStart w:id="45" w:name="_Toc340012014"/>
      <w:bookmarkStart w:id="46" w:name="_Toc340043319"/>
      <w:bookmarkStart w:id="47" w:name="_Toc340756162"/>
      <w:bookmarkStart w:id="48" w:name="_Toc351380357"/>
      <w:r w:rsidRPr="00536B4C">
        <w:rPr>
          <w:rFonts w:eastAsia="Calibri"/>
          <w:b/>
          <w:color w:val="000000"/>
          <w:szCs w:val="24"/>
        </w:rPr>
        <w:t>ABSENCE OF MATERIAL LITIGATION – The Authority</w:t>
      </w:r>
      <w:bookmarkEnd w:id="42"/>
      <w:bookmarkEnd w:id="43"/>
      <w:bookmarkEnd w:id="44"/>
      <w:bookmarkEnd w:id="45"/>
      <w:bookmarkEnd w:id="46"/>
      <w:bookmarkEnd w:id="47"/>
      <w:bookmarkEnd w:id="48"/>
      <w:r w:rsidRPr="00536B4C">
        <w:rPr>
          <w:rFonts w:eastAsia="Calibri"/>
          <w:szCs w:val="24"/>
        </w:rPr>
        <w:t>:</w:t>
      </w:r>
    </w:p>
    <w:p w14:paraId="1BC93D55" w14:textId="77777777" w:rsidR="00536B4C" w:rsidRPr="00536B4C" w:rsidRDefault="00536B4C" w:rsidP="00536B4C">
      <w:pPr>
        <w:spacing w:after="240"/>
        <w:ind w:firstLine="720"/>
        <w:jc w:val="both"/>
        <w:rPr>
          <w:szCs w:val="24"/>
        </w:rPr>
      </w:pPr>
      <w:r w:rsidRPr="00536B4C">
        <w:rPr>
          <w:szCs w:val="24"/>
        </w:rPr>
        <w:t>To the knowledge of the officers of the Authority, there is no litigation of any nature now pending (with service of process having been accomplished) or threatened against the Authority, seeking to restrain or enjoin the issuance, sale, execution or delivery of the Bonds, or in any way contesting or affecting the validity of the Bonds, any proceedings of the Authority taken concerning the issuance or sale thereof, the pledge or application of any moneys or security provided for the payment of the Bonds, or the existence or powers of the Authority relating to the issuance of the Bonds.</w:t>
      </w:r>
    </w:p>
    <w:p w14:paraId="1242AE43" w14:textId="77777777" w:rsidR="00536B4C" w:rsidRPr="00536B4C" w:rsidRDefault="00536B4C" w:rsidP="00536B4C">
      <w:pPr>
        <w:keepNext/>
        <w:numPr>
          <w:ilvl w:val="1"/>
          <w:numId w:val="0"/>
        </w:numPr>
        <w:spacing w:after="240"/>
        <w:outlineLvl w:val="1"/>
        <w:rPr>
          <w:rFonts w:eastAsia="Calibri"/>
          <w:szCs w:val="24"/>
        </w:rPr>
      </w:pPr>
      <w:bookmarkStart w:id="49" w:name="_Toc340005320"/>
      <w:bookmarkStart w:id="50" w:name="_Toc340006686"/>
      <w:bookmarkStart w:id="51" w:name="_Toc340011955"/>
      <w:bookmarkStart w:id="52" w:name="_Toc340012015"/>
      <w:bookmarkStart w:id="53" w:name="_Toc340043320"/>
      <w:bookmarkStart w:id="54" w:name="_Toc340756163"/>
      <w:bookmarkStart w:id="55" w:name="_Toc351380358"/>
      <w:r w:rsidRPr="00536B4C">
        <w:rPr>
          <w:rFonts w:eastAsia="Calibri"/>
          <w:b/>
          <w:color w:val="000000"/>
          <w:szCs w:val="24"/>
        </w:rPr>
        <w:t>Miscellaneous</w:t>
      </w:r>
      <w:bookmarkEnd w:id="49"/>
      <w:bookmarkEnd w:id="50"/>
      <w:bookmarkEnd w:id="51"/>
      <w:bookmarkEnd w:id="52"/>
      <w:bookmarkEnd w:id="53"/>
      <w:bookmarkEnd w:id="54"/>
      <w:bookmarkEnd w:id="55"/>
      <w:r w:rsidRPr="00536B4C">
        <w:rPr>
          <w:rFonts w:eastAsia="Calibri"/>
          <w:szCs w:val="24"/>
        </w:rPr>
        <w:t>:</w:t>
      </w:r>
    </w:p>
    <w:p w14:paraId="232405A7" w14:textId="77777777" w:rsidR="00536B4C" w:rsidRPr="00536B4C" w:rsidRDefault="00536B4C" w:rsidP="00536B4C">
      <w:pPr>
        <w:spacing w:after="240"/>
        <w:ind w:firstLine="720"/>
        <w:jc w:val="both"/>
        <w:rPr>
          <w:szCs w:val="24"/>
        </w:rPr>
      </w:pPr>
      <w:r w:rsidRPr="00536B4C">
        <w:rPr>
          <w:szCs w:val="24"/>
        </w:rPr>
        <w:t>The Authority furnished only the information contained under the captions “THE AUTHORITY” and “ABSENCE OF MATERIAL LITIGATION – The Authority” and, except for such information, makes no representation as to the adequacy, completeness or accuracy of this Official Statement or the information contained herein.</w:t>
      </w:r>
    </w:p>
    <w:p w14:paraId="37F98BD2" w14:textId="77777777" w:rsidR="00536B4C" w:rsidRPr="00536B4C" w:rsidRDefault="00536B4C" w:rsidP="00536B4C">
      <w:pPr>
        <w:keepNext/>
        <w:numPr>
          <w:ilvl w:val="1"/>
          <w:numId w:val="0"/>
        </w:numPr>
        <w:spacing w:after="240"/>
        <w:outlineLvl w:val="1"/>
        <w:rPr>
          <w:rFonts w:eastAsia="Calibri"/>
          <w:szCs w:val="24"/>
        </w:rPr>
      </w:pPr>
      <w:bookmarkStart w:id="56" w:name="_Toc340005321"/>
      <w:bookmarkStart w:id="57" w:name="_Toc340006687"/>
      <w:bookmarkStart w:id="58" w:name="_Toc340011956"/>
      <w:bookmarkStart w:id="59" w:name="_Toc340012016"/>
      <w:bookmarkStart w:id="60" w:name="_Toc340043321"/>
      <w:bookmarkStart w:id="61" w:name="_Toc340756164"/>
      <w:bookmarkStart w:id="62" w:name="_Toc351380359"/>
      <w:r w:rsidRPr="00536B4C">
        <w:rPr>
          <w:rFonts w:eastAsia="Calibri"/>
          <w:b/>
          <w:color w:val="000000"/>
          <w:szCs w:val="24"/>
        </w:rPr>
        <w:t>Signature Block</w:t>
      </w:r>
      <w:bookmarkEnd w:id="56"/>
      <w:bookmarkEnd w:id="57"/>
      <w:bookmarkEnd w:id="58"/>
      <w:bookmarkEnd w:id="59"/>
      <w:bookmarkEnd w:id="60"/>
      <w:bookmarkEnd w:id="61"/>
      <w:bookmarkEnd w:id="62"/>
      <w:r w:rsidRPr="00536B4C">
        <w:rPr>
          <w:rFonts w:eastAsia="Calibri"/>
          <w:szCs w:val="24"/>
        </w:rPr>
        <w:t>:</w:t>
      </w:r>
    </w:p>
    <w:p w14:paraId="7B75BAF2" w14:textId="77777777" w:rsidR="00536B4C" w:rsidRPr="00536B4C" w:rsidRDefault="00536B4C" w:rsidP="00536B4C">
      <w:pPr>
        <w:spacing w:after="240"/>
        <w:ind w:firstLine="720"/>
        <w:jc w:val="both"/>
        <w:rPr>
          <w:szCs w:val="24"/>
        </w:rPr>
      </w:pPr>
      <w:r w:rsidRPr="00536B4C">
        <w:rPr>
          <w:szCs w:val="24"/>
        </w:rPr>
        <w:t>This Official Statement has been delivered by the Authority and approved by the Borrower.  This Official Statement is not to be construed as a contract or agreement among any of the Authority, the Borrower and the purchasers or Holders of the Bonds.</w:t>
      </w:r>
    </w:p>
    <w:p w14:paraId="6E91D6F0" w14:textId="77777777" w:rsidR="00536B4C" w:rsidRPr="00536B4C" w:rsidRDefault="00536B4C" w:rsidP="00536B4C">
      <w:pPr>
        <w:keepLines/>
        <w:tabs>
          <w:tab w:val="left" w:pos="4860"/>
          <w:tab w:val="left" w:pos="5400"/>
          <w:tab w:val="right" w:pos="9000"/>
        </w:tabs>
        <w:spacing w:after="480"/>
        <w:ind w:left="4320"/>
        <w:rPr>
          <w:szCs w:val="24"/>
        </w:rPr>
      </w:pPr>
      <w:r w:rsidRPr="00536B4C">
        <w:rPr>
          <w:szCs w:val="24"/>
        </w:rPr>
        <w:t>CALIFORNIA EDUCATIONAL FACILITIES AUTHORITY</w:t>
      </w:r>
    </w:p>
    <w:p w14:paraId="6BEFAD4C" w14:textId="77777777" w:rsidR="00536B4C" w:rsidRPr="00536B4C" w:rsidRDefault="00536B4C" w:rsidP="00536B4C">
      <w:pPr>
        <w:keepLines/>
        <w:tabs>
          <w:tab w:val="center" w:pos="7020"/>
          <w:tab w:val="right" w:pos="9360"/>
        </w:tabs>
        <w:spacing w:after="480"/>
        <w:ind w:left="4320"/>
        <w:rPr>
          <w:szCs w:val="24"/>
        </w:rPr>
      </w:pPr>
      <w:r w:rsidRPr="00536B4C">
        <w:rPr>
          <w:szCs w:val="24"/>
        </w:rPr>
        <w:t xml:space="preserve">By:  </w:t>
      </w:r>
      <w:r w:rsidRPr="00536B4C">
        <w:rPr>
          <w:szCs w:val="24"/>
          <w:u w:val="single"/>
        </w:rPr>
        <w:tab/>
      </w:r>
      <w:r w:rsidRPr="00536B4C">
        <w:rPr>
          <w:szCs w:val="24"/>
          <w:u w:val="single"/>
        </w:rPr>
        <w:tab/>
      </w:r>
      <w:r w:rsidRPr="00536B4C">
        <w:rPr>
          <w:szCs w:val="24"/>
        </w:rPr>
        <w:br/>
      </w:r>
      <w:r w:rsidRPr="00536B4C">
        <w:rPr>
          <w:szCs w:val="24"/>
        </w:rPr>
        <w:tab/>
        <w:t>Executive Director</w:t>
      </w:r>
    </w:p>
    <w:p w14:paraId="64D81D0A" w14:textId="77777777" w:rsidR="00536B4C" w:rsidRPr="00536B4C" w:rsidRDefault="00536B4C" w:rsidP="00536B4C">
      <w:pPr>
        <w:jc w:val="both"/>
        <w:rPr>
          <w:rFonts w:eastAsia="Calibri"/>
          <w:szCs w:val="24"/>
        </w:rPr>
      </w:pPr>
    </w:p>
    <w:p w14:paraId="51DF0025" w14:textId="77777777" w:rsidR="00536B4C" w:rsidRPr="00536B4C" w:rsidRDefault="00536B4C" w:rsidP="00536B4C">
      <w:pPr>
        <w:jc w:val="both"/>
        <w:rPr>
          <w:rFonts w:eastAsia="Calibri"/>
          <w:szCs w:val="24"/>
        </w:rPr>
        <w:sectPr w:rsidR="00536B4C" w:rsidRPr="00536B4C" w:rsidSect="002307EA">
          <w:footerReference w:type="default" r:id="rId6"/>
          <w:pgSz w:w="12240" w:h="15840" w:code="1"/>
          <w:pgMar w:top="1440" w:right="1440" w:bottom="1440" w:left="1440" w:header="720" w:footer="720" w:gutter="0"/>
          <w:pgNumType w:start="1"/>
          <w:cols w:space="720"/>
          <w:docGrid w:linePitch="360"/>
        </w:sectPr>
      </w:pPr>
    </w:p>
    <w:p w14:paraId="73155A6A" w14:textId="77777777" w:rsidR="008747F9" w:rsidRDefault="008747F9"/>
    <w:sectPr w:rsidR="008747F9" w:rsidSect="00536B4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1542" w14:textId="77777777" w:rsidR="000B2D5D" w:rsidRDefault="000B2D5D">
      <w:r>
        <w:separator/>
      </w:r>
    </w:p>
  </w:endnote>
  <w:endnote w:type="continuationSeparator" w:id="0">
    <w:p w14:paraId="6963B38A" w14:textId="77777777" w:rsidR="000B2D5D" w:rsidRDefault="000B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D777" w14:textId="77777777" w:rsidR="00CB7F1F" w:rsidRDefault="005E2A19">
    <w:pPr>
      <w:pStyle w:val="Footer"/>
      <w:jc w:val="center"/>
    </w:pPr>
    <w:r>
      <w:fldChar w:fldCharType="begin"/>
    </w:r>
    <w:r w:rsidR="00536B4C">
      <w:instrText xml:space="preserve"> PAGE   \* MERGEFORMAT </w:instrText>
    </w:r>
    <w:r>
      <w:fldChar w:fldCharType="separate"/>
    </w:r>
    <w:r w:rsidR="00A7216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B65B" w14:textId="77777777" w:rsidR="000B2D5D" w:rsidRDefault="000B2D5D">
      <w:r>
        <w:separator/>
      </w:r>
    </w:p>
  </w:footnote>
  <w:footnote w:type="continuationSeparator" w:id="0">
    <w:p w14:paraId="58717A82" w14:textId="77777777" w:rsidR="000B2D5D" w:rsidRDefault="000B2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4C"/>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B2D5D"/>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36B4C"/>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2A19"/>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B46F2"/>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5520"/>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7216E"/>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B7F1F"/>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59628"/>
  <w15:docId w15:val="{F4C84718-7D5E-4FAB-B065-A717ECFD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536B4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536B4C"/>
    <w:rPr>
      <w:rFonts w:eastAsia="Calibri"/>
      <w:sz w:val="24"/>
      <w:szCs w:val="24"/>
    </w:rPr>
  </w:style>
  <w:style w:type="character" w:customStyle="1" w:styleId="DocID">
    <w:name w:val="DocID"/>
    <w:basedOn w:val="DefaultParagraphFont"/>
    <w:rsid w:val="00536B4C"/>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9C5520"/>
    <w:pPr>
      <w:tabs>
        <w:tab w:val="center" w:pos="4680"/>
        <w:tab w:val="right" w:pos="9360"/>
      </w:tabs>
    </w:pPr>
  </w:style>
  <w:style w:type="character" w:customStyle="1" w:styleId="HeaderChar">
    <w:name w:val="Header Char"/>
    <w:basedOn w:val="DefaultParagraphFont"/>
    <w:link w:val="Header"/>
    <w:uiPriority w:val="99"/>
    <w:rsid w:val="009C55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5490</Characters>
  <Application>Microsoft Office Word</Application>
  <DocSecurity>0</DocSecurity>
  <Lines>45</Lines>
  <Paragraphs>12</Paragraphs>
  <ScaleCrop>false</ScaleCrop>
  <Company>State Treasurer's Office</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Statement</dc:title>
  <dc:subject>Official Statement</dc:subject>
  <dc:creator>California Health Facilities Financing Authority</dc:creator>
  <cp:keywords>official statement,front cover,body</cp:keywords>
  <cp:lastModifiedBy>Fong, Amy</cp:lastModifiedBy>
  <cp:revision>2</cp:revision>
  <dcterms:created xsi:type="dcterms:W3CDTF">2025-03-23T21:37:00Z</dcterms:created>
  <dcterms:modified xsi:type="dcterms:W3CDTF">2025-03-23T21:37:00Z</dcterms:modified>
</cp:coreProperties>
</file>